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60" w:after="360"/>
        <w:jc w:val="center"/>
      </w:pPr>
      <w:r>
        <w:drawing>
          <wp:inline xmlns:a="http://schemas.openxmlformats.org/drawingml/2006/main" xmlns:pic="http://schemas.openxmlformats.org/drawingml/2006/picture">
            <wp:extent cx="3657600" cy="314861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esigner%20%283%29_optimized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1486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80"/>
        <w:jc w:val="center"/>
      </w:pPr>
      <w:r>
        <w:rPr>
          <w:b/>
          <w:color w:val="163A5F"/>
          <w:sz w:val="54"/>
        </w:rPr>
        <w:t>STREET LIGHTING ADOPTION</w:t>
        <w:br/>
        <w:t>&amp; DEFECT CLEARANCE</w:t>
      </w:r>
    </w:p>
    <w:p>
      <w:pPr>
        <w:jc w:val="center"/>
      </w:pPr>
      <w:r>
        <w:rPr>
          <w:color w:val="2F5597"/>
          <w:sz w:val="30"/>
        </w:rPr>
        <w:t>Capability Statement</w:t>
      </w:r>
    </w:p>
    <w:p>
      <w:pPr>
        <w:spacing w:before="560"/>
        <w:jc w:val="center"/>
      </w:pPr>
      <w:r>
        <w:rPr>
          <w:b/>
          <w:sz w:val="21"/>
        </w:rPr>
        <w:t>Inspection  •  Defect Schedule  •  Remedial Works  •  Testing  •  Handover Support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EAF0F7"/>
            <w:tcMar>
              <w:top w:w="220" w:type="dxa"/>
              <w:start w:w="260" w:type="dxa"/>
              <w:bottom w:w="220" w:type="dxa"/>
              <w:end w:w="260" w:type="dxa"/>
            </w:tcMar>
          </w:tcPr>
          <w:p>
            <w:pPr>
              <w:jc w:val="center"/>
            </w:pPr>
            <w:r>
              <w:rPr>
                <w:b/>
                <w:color w:val="163A5F"/>
                <w:sz w:val="22"/>
              </w:rPr>
              <w:t>Helping developers, adoption companies and principal contractors progress street-lighting assets from defect identification through to compliant handover and adoption.</w:t>
            </w:r>
          </w:p>
        </w:tc>
      </w:tr>
    </w:tbl>
    <w:p>
      <w:r>
        <w:br w:type="page"/>
      </w:r>
    </w:p>
    <w:p>
      <w:pPr>
        <w:pStyle w:val="Heading1"/>
        <w:spacing w:before="120" w:after="60"/>
      </w:pPr>
      <w:r>
        <w:t>A practical route from defects to adoption</w:t>
      </w:r>
    </w:p>
    <w:p>
      <w:pPr>
        <w:spacing w:after="40" w:line="240" w:lineRule="auto"/>
      </w:pPr>
      <w:r>
        <w:t>DC Streetlighting Services Ltd provides a specialist Street Lighting Adoption &amp; Defect Clearance service for developers, adoption specialists, principal contractors and infrastructure organisations. Our service is designed to help identify, manage and close out street-lighting defects that can delay final inspections, highway adoption and associated project close-out.</w:t>
      </w:r>
    </w:p>
    <w:p>
      <w:pPr>
        <w:spacing w:after="40" w:line="240" w:lineRule="auto"/>
      </w:pPr>
      <w:r>
        <w:t>Rather than providing labour in isolation, we support the complete defect-clearance process: site inspection, defect scheduling, quotation, remedial works, electrical testing, asset and CMS information, photographic evidence, close-out documentation and liaison support through final inspection.</w:t>
      </w:r>
    </w:p>
    <w:p>
      <w:pPr>
        <w:pStyle w:val="Heading1"/>
        <w:spacing w:before="120" w:after="60"/>
      </w:pPr>
      <w:r>
        <w:t>The challenge we help solve</w:t>
      </w:r>
    </w:p>
    <w:p>
      <w:pPr>
        <w:pStyle w:val="ListBullet"/>
      </w:pPr>
      <w:r>
        <w:t>Street-lighting defects identified late in the adoption process.</w:t>
      </w:r>
    </w:p>
    <w:p>
      <w:pPr>
        <w:pStyle w:val="ListBullet"/>
      </w:pPr>
      <w:r>
        <w:t>Incomplete or inconsistent asset, testing, CMS or as-built information.</w:t>
      </w:r>
    </w:p>
    <w:p>
      <w:pPr>
        <w:pStyle w:val="ListBullet"/>
      </w:pPr>
      <w:r>
        <w:t>Multiple subcontractors and unclear responsibility for closing defects.</w:t>
      </w:r>
    </w:p>
    <w:p>
      <w:pPr>
        <w:pStyle w:val="ListBullet"/>
      </w:pPr>
      <w:r>
        <w:t>Repeat inspections caused by incomplete remedial works or missing evidence.</w:t>
      </w:r>
    </w:p>
    <w:p>
      <w:pPr>
        <w:pStyle w:val="ListBullet"/>
      </w:pPr>
      <w:r>
        <w:t>Programme delay affecting adoption, completion milestones and bond release.</w:t>
      </w:r>
    </w:p>
    <w:p>
      <w:pPr>
        <w:pStyle w:val="Heading1"/>
        <w:spacing w:before="120" w:after="60"/>
      </w:pPr>
      <w:r>
        <w:t>Our capability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cantSplit/>
        </w:trPr>
        <w:tc>
          <w:tcPr>
            <w:tcW w:type="dxa" w:w="5083"/>
            <w:shd w:fill="163A5F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 w:line="240" w:lineRule="auto"/>
            </w:pPr>
            <w:r>
              <w:rPr>
                <w:b/>
                <w:color w:val="FFFFFF"/>
                <w:sz w:val="16"/>
              </w:rPr>
              <w:t>Service Stage</w:t>
            </w:r>
          </w:p>
        </w:tc>
        <w:tc>
          <w:tcPr>
            <w:tcW w:type="dxa" w:w="5083"/>
            <w:shd w:fill="163A5F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 w:line="240" w:lineRule="auto"/>
            </w:pPr>
            <w:r>
              <w:rPr>
                <w:b/>
                <w:color w:val="FFFFFF"/>
                <w:sz w:val="16"/>
              </w:rPr>
              <w:t>What DC Streetlighting Provides</w:t>
            </w:r>
          </w:p>
        </w:tc>
      </w:tr>
      <w:tr>
        <w:trPr>
          <w:cantSplit/>
        </w:trPr>
        <w:tc>
          <w:tcPr>
            <w:tcW w:type="dxa" w:w="508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 w:line="240" w:lineRule="auto"/>
            </w:pPr>
            <w:r>
              <w:rPr>
                <w:sz w:val="16"/>
              </w:rPr>
              <w:t>Initial Adoption Health Check</w:t>
            </w:r>
          </w:p>
        </w:tc>
        <w:tc>
          <w:tcPr>
            <w:tcW w:type="dxa" w:w="508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 w:line="240" w:lineRule="auto"/>
            </w:pPr>
            <w:r>
              <w:rPr>
                <w:sz w:val="16"/>
              </w:rPr>
              <w:t>Review available defect lists, drawings, asset information and site status to establish the likely scope and priorities.</w:t>
            </w:r>
          </w:p>
        </w:tc>
      </w:tr>
      <w:tr>
        <w:trPr>
          <w:cantSplit/>
        </w:trPr>
        <w:tc>
          <w:tcPr>
            <w:tcW w:type="dxa" w:w="508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 w:line="240" w:lineRule="auto"/>
            </w:pPr>
            <w:r>
              <w:rPr>
                <w:sz w:val="16"/>
              </w:rPr>
              <w:t>Site Inspection &amp; Defect Verification</w:t>
            </w:r>
          </w:p>
        </w:tc>
        <w:tc>
          <w:tcPr>
            <w:tcW w:type="dxa" w:w="508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 w:line="240" w:lineRule="auto"/>
            </w:pPr>
            <w:r>
              <w:rPr>
                <w:sz w:val="16"/>
              </w:rPr>
              <w:t>Inspect street-lighting assets, verify reported defects, identify additional visible issues and create a clear action schedule.</w:t>
            </w:r>
          </w:p>
        </w:tc>
      </w:tr>
      <w:tr>
        <w:trPr>
          <w:cantSplit/>
        </w:trPr>
        <w:tc>
          <w:tcPr>
            <w:tcW w:type="dxa" w:w="508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 w:line="240" w:lineRule="auto"/>
            </w:pPr>
            <w:r>
              <w:rPr>
                <w:sz w:val="16"/>
              </w:rPr>
              <w:t>Defect Schedule &amp; Commercial Proposal</w:t>
            </w:r>
          </w:p>
        </w:tc>
        <w:tc>
          <w:tcPr>
            <w:tcW w:type="dxa" w:w="508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 w:line="240" w:lineRule="auto"/>
            </w:pPr>
            <w:r>
              <w:rPr>
                <w:sz w:val="16"/>
              </w:rPr>
              <w:t>Provide an organised defect schedule and quotation so responsibilities, priorities and costs are transparent.</w:t>
            </w:r>
          </w:p>
        </w:tc>
      </w:tr>
      <w:tr>
        <w:trPr>
          <w:cantSplit/>
        </w:trPr>
        <w:tc>
          <w:tcPr>
            <w:tcW w:type="dxa" w:w="508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 w:line="240" w:lineRule="auto"/>
            </w:pPr>
            <w:r>
              <w:rPr>
                <w:sz w:val="16"/>
              </w:rPr>
              <w:t>Remedial &amp; Completion Works</w:t>
            </w:r>
          </w:p>
        </w:tc>
        <w:tc>
          <w:tcPr>
            <w:tcW w:type="dxa" w:w="508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 w:line="240" w:lineRule="auto"/>
            </w:pPr>
            <w:r>
              <w:rPr>
                <w:sz w:val="16"/>
              </w:rPr>
              <w:t>Undertake agreed street-lighting remedial works using competent personnel, appropriate RAMS and safe systems of work.</w:t>
            </w:r>
          </w:p>
        </w:tc>
      </w:tr>
      <w:tr>
        <w:trPr>
          <w:cantSplit/>
        </w:trPr>
        <w:tc>
          <w:tcPr>
            <w:tcW w:type="dxa" w:w="508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 w:line="240" w:lineRule="auto"/>
            </w:pPr>
            <w:r>
              <w:rPr>
                <w:sz w:val="16"/>
              </w:rPr>
              <w:t>Electrical Testing &amp; Certification</w:t>
            </w:r>
          </w:p>
        </w:tc>
        <w:tc>
          <w:tcPr>
            <w:tcW w:type="dxa" w:w="508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 w:line="240" w:lineRule="auto"/>
            </w:pPr>
            <w:r>
              <w:rPr>
                <w:sz w:val="16"/>
              </w:rPr>
              <w:t>Complete applicable inspection, testing and supporting electrical documentation for the assets within our scope.</w:t>
            </w:r>
          </w:p>
        </w:tc>
      </w:tr>
      <w:tr>
        <w:trPr>
          <w:cantSplit/>
        </w:trPr>
        <w:tc>
          <w:tcPr>
            <w:tcW w:type="dxa" w:w="508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 w:line="240" w:lineRule="auto"/>
            </w:pPr>
            <w:r>
              <w:rPr>
                <w:sz w:val="16"/>
              </w:rPr>
              <w:t>CMS / Asset Information Support</w:t>
            </w:r>
          </w:p>
        </w:tc>
        <w:tc>
          <w:tcPr>
            <w:tcW w:type="dxa" w:w="508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 w:line="240" w:lineRule="auto"/>
            </w:pPr>
            <w:r>
              <w:rPr>
                <w:sz w:val="16"/>
              </w:rPr>
              <w:t>Assist with collection and close-out of relevant asset data, labels, inventories and CMS-related information where required.</w:t>
            </w:r>
          </w:p>
        </w:tc>
      </w:tr>
      <w:tr>
        <w:trPr>
          <w:cantSplit/>
        </w:trPr>
        <w:tc>
          <w:tcPr>
            <w:tcW w:type="dxa" w:w="508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 w:line="240" w:lineRule="auto"/>
            </w:pPr>
            <w:r>
              <w:rPr>
                <w:sz w:val="16"/>
              </w:rPr>
              <w:t>Evidence &amp; Handover Documentation</w:t>
            </w:r>
          </w:p>
        </w:tc>
        <w:tc>
          <w:tcPr>
            <w:tcW w:type="dxa" w:w="508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 w:line="240" w:lineRule="auto"/>
            </w:pPr>
            <w:r>
              <w:rPr>
                <w:sz w:val="16"/>
              </w:rPr>
              <w:t>Compile photographs, test information, asset schedules and close-out records into a structured handover pack.</w:t>
            </w:r>
          </w:p>
        </w:tc>
      </w:tr>
      <w:tr>
        <w:trPr>
          <w:cantSplit/>
        </w:trPr>
        <w:tc>
          <w:tcPr>
            <w:tcW w:type="dxa" w:w="508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 w:line="240" w:lineRule="auto"/>
            </w:pPr>
            <w:r>
              <w:rPr>
                <w:sz w:val="16"/>
              </w:rPr>
              <w:t>Final Inspection Support</w:t>
            </w:r>
          </w:p>
        </w:tc>
        <w:tc>
          <w:tcPr>
            <w:tcW w:type="dxa" w:w="508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 w:line="240" w:lineRule="auto"/>
            </w:pPr>
            <w:r>
              <w:rPr>
                <w:sz w:val="16"/>
              </w:rPr>
              <w:t>Support defect close-out, responses to inspection comments and further remedial actions required to progress adoption.</w:t>
            </w:r>
          </w:p>
        </w:tc>
      </w:tr>
    </w:tbl>
    <w:p>
      <w:r>
        <w:br w:type="page"/>
      </w:r>
    </w:p>
    <w:p>
      <w:pPr>
        <w:pStyle w:val="Heading1"/>
        <w:spacing w:before="120" w:after="60"/>
      </w:pPr>
      <w:r>
        <w:t>A structured defect-clearance process</w:t>
      </w:r>
    </w:p>
    <w:p>
      <w:r>
        <w:rPr>
          <w:b/>
          <w:color w:val="2F5597"/>
        </w:rPr>
        <w:t xml:space="preserve">1. Review  </w:t>
      </w:r>
      <w:r>
        <w:t>Receive the available defect list, drawings, specifications, test records, asset schedules and adoption comments.</w:t>
      </w:r>
    </w:p>
    <w:p>
      <w:r>
        <w:rPr>
          <w:b/>
          <w:color w:val="2F5597"/>
        </w:rPr>
        <w:t xml:space="preserve">2. Inspect  </w:t>
      </w:r>
      <w:r>
        <w:t>Attend site, verify asset condition and confirm the physical scope of outstanding street-lighting works.</w:t>
      </w:r>
    </w:p>
    <w:p>
      <w:r>
        <w:rPr>
          <w:b/>
          <w:color w:val="2F5597"/>
        </w:rPr>
        <w:t xml:space="preserve">3. Schedule  </w:t>
      </w:r>
      <w:r>
        <w:t>Produce or refine the defect schedule, prioritising safety-critical, compliance and adoption-related items.</w:t>
      </w:r>
    </w:p>
    <w:p>
      <w:r>
        <w:rPr>
          <w:b/>
          <w:color w:val="2F5597"/>
        </w:rPr>
        <w:t xml:space="preserve">4. Quote  </w:t>
      </w:r>
      <w:r>
        <w:t>Provide a clear commercial proposal for the agreed remedial and close-out works.</w:t>
      </w:r>
    </w:p>
    <w:p>
      <w:r>
        <w:rPr>
          <w:b/>
          <w:color w:val="2F5597"/>
        </w:rPr>
        <w:t xml:space="preserve">5. Rectify  </w:t>
      </w:r>
      <w:r>
        <w:t>Deliver the works under suitable planning, RAMS, traffic/pedestrian management and competent supervision.</w:t>
      </w:r>
    </w:p>
    <w:p>
      <w:r>
        <w:rPr>
          <w:b/>
          <w:color w:val="2F5597"/>
        </w:rPr>
        <w:t xml:space="preserve">6. Test &amp; Record  </w:t>
      </w:r>
      <w:r>
        <w:t>Complete applicable electrical testing, photographs, asset information and supporting records.</w:t>
      </w:r>
    </w:p>
    <w:p>
      <w:r>
        <w:rPr>
          <w:b/>
          <w:color w:val="2F5597"/>
        </w:rPr>
        <w:t xml:space="preserve">7. Close Out  </w:t>
      </w:r>
      <w:r>
        <w:t>Issue a structured completion / handover pack and support responses to final inspection comments.</w:t>
      </w:r>
    </w:p>
    <w:p>
      <w:pPr>
        <w:pStyle w:val="Heading1"/>
        <w:spacing w:before="120" w:after="60"/>
      </w:pPr>
      <w:r>
        <w:t>Developer Street Lighting Handover Pack</w:t>
      </w:r>
    </w:p>
    <w:p>
      <w:r>
        <w:t>Where required, DC Streetlighting can assemble a project-specific handover pack to provide a clear audit trail of the street-lighting works completed within our scope. The final content can be aligned to the adopting authority, project specification and information made available to us.</w:t>
      </w:r>
    </w:p>
    <w:p>
      <w:pPr>
        <w:pStyle w:val="ListBullet"/>
      </w:pPr>
      <w:r>
        <w:t>Current defect schedule and close-out status</w:t>
      </w:r>
    </w:p>
    <w:p>
      <w:pPr>
        <w:pStyle w:val="ListBullet"/>
      </w:pPr>
      <w:r>
        <w:t>Electrical inspection / test documentation applicable to completed works</w:t>
      </w:r>
    </w:p>
    <w:p>
      <w:pPr>
        <w:pStyle w:val="ListBullet"/>
      </w:pPr>
      <w:r>
        <w:t>Asset schedules and identification information</w:t>
      </w:r>
    </w:p>
    <w:p>
      <w:pPr>
        <w:pStyle w:val="ListBullet"/>
      </w:pPr>
      <w:r>
        <w:t>Photographic completion evidence</w:t>
      </w:r>
    </w:p>
    <w:p>
      <w:pPr>
        <w:pStyle w:val="ListBullet"/>
      </w:pPr>
      <w:r>
        <w:t>CMS-related information supplied or collected within scope</w:t>
      </w:r>
    </w:p>
    <w:p>
      <w:pPr>
        <w:pStyle w:val="ListBullet"/>
      </w:pPr>
      <w:r>
        <w:t>As-built information supplied for inclusion in the handover</w:t>
      </w:r>
    </w:p>
    <w:p>
      <w:pPr>
        <w:pStyle w:val="ListBullet"/>
      </w:pPr>
      <w:r>
        <w:t>Remedial works / completion register</w:t>
      </w:r>
    </w:p>
    <w:p>
      <w:pPr>
        <w:pStyle w:val="ListBullet"/>
      </w:pPr>
      <w:r>
        <w:t>Outstanding actions and exclusions, where applicable</w:t>
      </w:r>
    </w:p>
    <w:p>
      <w:pPr>
        <w:pStyle w:val="Heading1"/>
        <w:spacing w:before="120" w:after="60"/>
      </w:pPr>
      <w:r>
        <w:t>Adoption Health Check</w:t>
      </w:r>
    </w:p>
    <w:p>
      <w:r>
        <w:rPr>
          <w:b/>
        </w:rPr>
        <w:t xml:space="preserve">A straightforward first step for stalled or approaching-adoption sites. </w:t>
      </w:r>
      <w:r>
        <w:t>Send us the available street-lighting defect list, drawings and supporting information. We can undertake an initial review to help identify the likely workstreams, information gaps and practical next steps before a full remedial package is agreed.</w:t>
      </w:r>
    </w:p>
    <w:p>
      <w:pPr>
        <w:pStyle w:val="Heading1"/>
        <w:spacing w:before="120" w:after="60"/>
      </w:pPr>
      <w:r>
        <w:t>Why appoint DC Streetlighting Services Ltd?</w:t>
      </w:r>
    </w:p>
    <w:p>
      <w:r>
        <w:rPr>
          <w:b/>
          <w:color w:val="163A5F"/>
        </w:rPr>
        <w:t xml:space="preserve">Specialist street-lighting focus: </w:t>
      </w:r>
      <w:r>
        <w:t>A service built around highways electrical and street-lighting assets rather than general construction defect management.</w:t>
      </w:r>
    </w:p>
    <w:p>
      <w:r>
        <w:rPr>
          <w:b/>
          <w:color w:val="163A5F"/>
        </w:rPr>
        <w:t xml:space="preserve">Single-point defect clearance: </w:t>
      </w:r>
      <w:r>
        <w:t>A coordinated route from inspection and quotation through remedial works, testing and close-out evidence.</w:t>
      </w:r>
    </w:p>
    <w:p>
      <w:r>
        <w:rPr>
          <w:b/>
          <w:color w:val="163A5F"/>
        </w:rPr>
        <w:t xml:space="preserve">Safety-led delivery: </w:t>
      </w:r>
      <w:r>
        <w:t>Works planned around competent personnel, RAMS, public protection, traffic/pedestrian interfaces and appropriate work-at-height controls.</w:t>
      </w:r>
    </w:p>
    <w:p>
      <w:r>
        <w:rPr>
          <w:b/>
          <w:color w:val="163A5F"/>
        </w:rPr>
        <w:t xml:space="preserve">Procurement-friendly documentation: </w:t>
      </w:r>
      <w:r>
        <w:t>Clear scopes, defect schedules, records and close-out information that support client governance and audit requirements.</w:t>
      </w:r>
    </w:p>
    <w:p>
      <w:r>
        <w:rPr>
          <w:b/>
          <w:color w:val="163A5F"/>
        </w:rPr>
        <w:t xml:space="preserve">Flexible project support: </w:t>
      </w:r>
      <w:r>
        <w:t>Suitable for individual problem sites, pre-adoption reviews or multi-site defect-clearance programmes across the United Kingdom.</w:t>
      </w:r>
    </w:p>
    <w:p>
      <w:pPr>
        <w:pStyle w:val="Heading1"/>
        <w:spacing w:before="120" w:after="60"/>
      </w:pPr>
      <w:r>
        <w:t>Typical clients and project situations</w:t>
      </w:r>
    </w:p>
    <w:p>
      <w:pPr>
        <w:pStyle w:val="ListBullet"/>
      </w:pPr>
      <w:r>
        <w:t>Residential and mixed-use developers approaching Section 38 / highway adoption milestones.</w:t>
      </w:r>
    </w:p>
    <w:p>
      <w:pPr>
        <w:pStyle w:val="ListBullet"/>
      </w:pPr>
      <w:r>
        <w:t>Adoption management companies requiring a specialist street-lighting delivery partner.</w:t>
      </w:r>
    </w:p>
    <w:p>
      <w:pPr>
        <w:pStyle w:val="ListBullet"/>
      </w:pPr>
      <w:r>
        <w:t>Principal contractors closing infrastructure packages before handover.</w:t>
      </w:r>
    </w:p>
    <w:p>
      <w:pPr>
        <w:pStyle w:val="ListBullet"/>
      </w:pPr>
      <w:r>
        <w:t>Sites with recurring street-lighting defects following inspection.</w:t>
      </w:r>
    </w:p>
    <w:p>
      <w:pPr>
        <w:pStyle w:val="ListBullet"/>
      </w:pPr>
      <w:r>
        <w:t>Projects where incomplete test, asset, CMS or photographic records are preventing close-out.</w:t>
      </w:r>
    </w:p>
    <w:p>
      <w:pPr>
        <w:pStyle w:val="ListBullet"/>
      </w:pPr>
      <w:r>
        <w:t>Multi-phase developments requiring an organised programme of inspection and defect clearance.</w:t>
      </w:r>
    </w:p>
    <w:p>
      <w:pPr>
        <w:pStyle w:val="Heading1"/>
        <w:spacing w:before="120" w:after="60"/>
      </w:pPr>
      <w:r>
        <w:t>Scope tailored to the adopting authority</w:t>
      </w:r>
    </w:p>
    <w:p>
      <w:r>
        <w:t>Adoption requirements vary between highway authorities, project specifications and asset owners. DC Streetlighting therefore agrees the precise scope, evidence requirements, testing, asset information and acceptance criteria on a project-by-project basis. Our role is to provide a controlled, documented and practical route to close the street-lighting items within our agreed responsibility.</w:t>
      </w:r>
    </w:p>
    <w:p>
      <w:pPr>
        <w:pStyle w:val="Heading1"/>
        <w:spacing w:before="120" w:after="60"/>
      </w:pPr>
      <w:r>
        <w:t>Engagement model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c>
          <w:tcPr>
            <w:tcW w:type="dxa" w:w="3389"/>
            <w:shd w:fill="163A5F"/>
          </w:tcPr>
          <w:p>
            <w:r>
              <w:rPr>
                <w:b/>
                <w:color w:val="FFFFFF"/>
              </w:rPr>
              <w:t>1. Send Information</w:t>
            </w:r>
          </w:p>
        </w:tc>
        <w:tc>
          <w:tcPr>
            <w:tcW w:type="dxa" w:w="3389"/>
            <w:shd w:fill="163A5F"/>
          </w:tcPr>
          <w:p>
            <w:r>
              <w:rPr>
                <w:b/>
                <w:color w:val="FFFFFF"/>
              </w:rPr>
              <w:t>2. Agree Scope</w:t>
            </w:r>
          </w:p>
        </w:tc>
        <w:tc>
          <w:tcPr>
            <w:tcW w:type="dxa" w:w="3389"/>
            <w:shd w:fill="163A5F"/>
          </w:tcPr>
          <w:p>
            <w:r>
              <w:rPr>
                <w:b/>
                <w:color w:val="FFFFFF"/>
              </w:rPr>
              <w:t>3. Clear &amp; Close Out</w:t>
            </w:r>
          </w:p>
        </w:tc>
      </w:tr>
      <w:tr>
        <w:tc>
          <w:tcPr>
            <w:tcW w:type="dxa" w:w="3389"/>
            <w:tcMar>
              <w:top w:w="160" w:type="dxa"/>
              <w:start w:w="150" w:type="dxa"/>
              <w:bottom w:w="160" w:type="dxa"/>
              <w:end w:w="150" w:type="dxa"/>
            </w:tcMar>
          </w:tcPr>
          <w:p>
            <w:r>
              <w:t>Defect list, drawings, inspection comments, asset information and target adoption dates.</w:t>
            </w:r>
          </w:p>
        </w:tc>
        <w:tc>
          <w:tcPr>
            <w:tcW w:type="dxa" w:w="3389"/>
            <w:tcMar>
              <w:top w:w="160" w:type="dxa"/>
              <w:start w:w="150" w:type="dxa"/>
              <w:bottom w:w="160" w:type="dxa"/>
              <w:end w:w="150" w:type="dxa"/>
            </w:tcMar>
          </w:tcPr>
          <w:p>
            <w:r>
              <w:t>We review the information, inspect where required and provide a defined proposal.</w:t>
            </w:r>
          </w:p>
        </w:tc>
        <w:tc>
          <w:tcPr>
            <w:tcW w:type="dxa" w:w="3389"/>
            <w:tcMar>
              <w:top w:w="160" w:type="dxa"/>
              <w:start w:w="150" w:type="dxa"/>
              <w:bottom w:w="160" w:type="dxa"/>
              <w:end w:w="150" w:type="dxa"/>
            </w:tcMar>
          </w:tcPr>
          <w:p>
            <w:r>
              <w:t>We complete the agreed works, record evidence and support the close-out process.</w:t>
            </w:r>
          </w:p>
        </w:tc>
      </w:tr>
    </w:tbl>
    <w:p>
      <w:pPr>
        <w:pStyle w:val="Heading1"/>
        <w:spacing w:before="120" w:after="60"/>
      </w:pPr>
      <w:r>
        <w:t>Start with an Adoption Health Check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EAF0F7"/>
            <w:tcMar>
              <w:top w:w="220" w:type="dxa"/>
              <w:start w:w="250" w:type="dxa"/>
              <w:bottom w:w="220" w:type="dxa"/>
              <w:end w:w="250" w:type="dxa"/>
            </w:tcMar>
          </w:tcPr>
          <w:p>
            <w:pPr>
              <w:spacing w:after="20" w:line="228" w:lineRule="auto"/>
            </w:pPr>
            <w:r>
              <w:rPr>
                <w:b/>
                <w:color w:val="163A5F"/>
                <w:sz w:val="19"/>
              </w:rPr>
              <w:t>Have a site with outstanding street-lighting defects?</w:t>
              <w:br/>
            </w:r>
            <w:r>
              <w:rPr>
                <w:sz w:val="19"/>
              </w:rPr>
              <w:t>Provide the available defect schedule, drawings and inspection information to DC Streetlighting Services Ltd for an initial review. We can then help define the route from outstanding defects to a structured, evidenced close-out package.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2240" w:h="15840"/>
      <w:pgMar w:top="936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6464"/>
        <w:sz w:val="15"/>
      </w:rPr>
      <w:t>DC Streetlighting Services Ltd  |  Street Lighting Adoption &amp; Defect Clearance Capability Statement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1143000" cy="98394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Designer%20%283%29_optimize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43000" cy="983942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5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F5597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63A5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